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MeTeL教学资源平台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全面助力高校师生教与学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auto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/>
        <w:ind w:left="0" w:firstLine="0"/>
        <w:jc w:val="center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263515" cy="2550160"/>
            <wp:effectExtent l="106045" t="78740" r="116840" b="95250"/>
            <wp:docPr id="2" name="图片 2" descr="1C245807-32CF-4c53-B49F-63419D4B3A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C245807-32CF-4c53-B49F-63419D4B3AE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501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/>
        <w:ind w:left="0" w:firstLine="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MeTeL教学资源平台专为高校教师自主教学（eTeaching）与高校研究生、本科生、留学生自主学习（eLearning）提供帮助。截止202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sz w:val="28"/>
          <w:szCs w:val="28"/>
        </w:rPr>
        <w:t>年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12</w:t>
      </w:r>
      <w:r>
        <w:rPr>
          <w:rFonts w:hint="eastAsia" w:ascii="宋体" w:hAnsi="宋体" w:eastAsia="宋体" w:cs="宋体"/>
          <w:sz w:val="28"/>
          <w:szCs w:val="28"/>
        </w:rPr>
        <w:t>月份，课程总量达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8</w:t>
      </w:r>
      <w:r>
        <w:rPr>
          <w:rFonts w:hint="eastAsia" w:ascii="宋体" w:hAnsi="宋体" w:eastAsia="宋体" w:cs="宋体"/>
          <w:sz w:val="28"/>
          <w:szCs w:val="28"/>
        </w:rPr>
        <w:t>万余门，课程资源达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500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</w:rPr>
        <w:t>万+，主要收录了国外500余所著名高校自2005年以来的先进课程、讲座资源，内容涵盖14大学科门类，300多个一级或二级学科，包含20余种资源类型。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/>
        <w:ind w:left="0" w:firstLine="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为方便用户使用，MeTeL平台除了全面的检索、导航功能，还有多项特色服务，一起来了解一下吧！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/>
        <w:ind w:left="0" w:firstLine="0"/>
        <w:textAlignment w:val="auto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资源查找：导航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学科导航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5268595" cy="3309620"/>
            <wp:effectExtent l="106045" t="86360" r="111760" b="90170"/>
            <wp:docPr id="16" name="图片 16" descr="D29A49FD-AA77-4c0a-A820-CE9580CE0A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29A49FD-AA77-4c0a-A820-CE9580CE0A7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096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按照国内14大学科将外文课程资源进行分类整理汇总，可快速定位所需学科，提高查找课程的效率。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院校导航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5264785" cy="2865120"/>
            <wp:effectExtent l="80010" t="67945" r="84455" b="76835"/>
            <wp:docPr id="3" name="图片 3" descr="院校导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院校导航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65120"/>
                    </a:xfrm>
                    <a:prstGeom prst="rect">
                      <a:avLst/>
                    </a:prstGeom>
                    <a:effectLst>
                      <a:outerShdw blurRad="63500" sx="101000" sy="101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整理了不同院校课程资源，可快速跳转至目标院校。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资源查找：检索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快速搜索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5267325" cy="1056005"/>
            <wp:effectExtent l="106045" t="64135" r="113030" b="80010"/>
            <wp:docPr id="17" name="图片 17" descr="96E06247-ACF1-44e9-B31B-0397B98A3D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6E06247-ACF1-44e9-B31B-0397B98A3D5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560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首页可实现知识点、课程与课程资源三种不同形式的快速搜索。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高级搜索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5267960" cy="4722495"/>
            <wp:effectExtent l="80010" t="76835" r="81280" b="77470"/>
            <wp:docPr id="5" name="图片 5" descr="高级搜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高级搜索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722495"/>
                    </a:xfrm>
                    <a:prstGeom prst="rect">
                      <a:avLst/>
                    </a:prstGeom>
                    <a:effectLst>
                      <a:outerShdw blurRad="63500" sx="101000" sy="101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多方面限制搜索条件，精准查找某类课程或教学资源。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二次搜索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5273040" cy="2702560"/>
            <wp:effectExtent l="80010" t="67310" r="95250" b="68580"/>
            <wp:docPr id="6" name="图片 6" descr="二次搜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二次搜索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02560"/>
                    </a:xfrm>
                    <a:prstGeom prst="rect">
                      <a:avLst/>
                    </a:prstGeom>
                    <a:effectLst>
                      <a:outerShdw blurRad="63500" sx="101000" sy="101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在初次搜索结果页面，可进行二次搜索，进一步细化搜索范围。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特色功能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助力教师教学：伴侣课程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5114925" cy="2028825"/>
            <wp:effectExtent l="79375" t="63500" r="82550" b="79375"/>
            <wp:docPr id="7" name="图片 7" descr="伴侣课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伴侣课程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028825"/>
                    </a:xfrm>
                    <a:prstGeom prst="rect">
                      <a:avLst/>
                    </a:prstGeom>
                    <a:effectLst>
                      <a:outerShdw blurRad="63500" sx="101000" sy="101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/>
        <w:ind w:left="0" w:firstLine="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课程特色：全学科课程匹配、多终端学习平台、全过程学习督导；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/>
        <w:ind w:left="0" w:firstLine="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重要作用：助力课程建设、促进教学改革、加强人才培养；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/>
        <w:ind w:left="0" w:firstLine="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适用场景：本科生、研究生、留学生教学。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/>
        <w:ind w:left="0" w:firstLine="0"/>
        <w:jc w:val="center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266055" cy="4006850"/>
            <wp:effectExtent l="106045" t="93345" r="114300" b="109855"/>
            <wp:docPr id="18" name="图片 18" descr="417F6010-4E51-43ce-AC1B-854660EFBC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17F6010-4E51-43ce-AC1B-854660EFBC8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006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/>
        <w:ind w:left="0" w:firstLine="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MeTeL平台依据教师课程匹配相应外文教学资源，辅助教师进行课程改革，使教学效果更佳。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/>
        <w:ind w:left="0" w:firstLine="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伴侣课程结业后生成完整课程档案。揭示伴侣课程详细信息及学习流程，对课程进行展示。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助力教师教学：高校课程共建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5266055" cy="4194810"/>
            <wp:effectExtent l="80010" t="74295" r="83185" b="93345"/>
            <wp:docPr id="9" name="图片 9" descr="课程共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课程共建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194810"/>
                    </a:xfrm>
                    <a:prstGeom prst="rect">
                      <a:avLst/>
                    </a:prstGeom>
                    <a:effectLst>
                      <a:outerShdw blurRad="63500" sx="101000" sy="101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通过该平台，高校开设的学分课程，与MeTeL全英文课程实现智能对接并允许高校持VIP卡任课教师对最优课程进行Peer-Review，进一步实现精准对接，促进课程教学，助力高校双一流建设。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助力教师教学：课程思政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5267325" cy="3186430"/>
            <wp:effectExtent l="80010" t="69215" r="81915" b="78105"/>
            <wp:docPr id="10" name="图片 10" descr="课程思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课程思政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86430"/>
                    </a:xfrm>
                    <a:prstGeom prst="rect">
                      <a:avLst/>
                    </a:prstGeom>
                    <a:effectLst>
                      <a:outerShdw blurRad="63500" sx="101000" sy="101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为响应教育部关于课程思政建设的相关要求，在“首页”、“伴侣课程”、“学分课程”、“精选课程”等板块的课程中均加入“思政元素”，可供读者了解该课程体现的思政相关内容。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助力学子发展：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证书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课程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5273675" cy="3014980"/>
            <wp:effectExtent l="80010" t="68580" r="94615" b="78740"/>
            <wp:docPr id="11" name="图片 11" descr="学分课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分课程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14980"/>
                    </a:xfrm>
                    <a:prstGeom prst="rect">
                      <a:avLst/>
                    </a:prstGeom>
                    <a:effectLst>
                      <a:outerShdw blurRad="63500" sx="101000" sy="101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展示各学科可供选修的外文学分课程。学子可选择PC端或移动端进行课程学习，每门课程均可进行双语处理，且可根据学校要求进行课程的个性化展示；平台全程记录学习轨迹，进行学情监督，实现师生互动，并提供完整学业档案，保障选修课程的学习效果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助力学子发展：精选课程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5273675" cy="2922270"/>
            <wp:effectExtent l="80010" t="67945" r="94615" b="76835"/>
            <wp:docPr id="12" name="图片 12" descr="精选课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精选课程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22270"/>
                    </a:xfrm>
                    <a:prstGeom prst="rect">
                      <a:avLst/>
                    </a:prstGeom>
                    <a:effectLst>
                      <a:outerShdw blurRad="63500" sx="101000" sy="101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优选世界名校视频课程，总计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1000</w:t>
      </w:r>
      <w:r>
        <w:rPr>
          <w:rFonts w:hint="eastAsia" w:ascii="宋体" w:hAnsi="宋体" w:eastAsia="宋体" w:cs="宋体"/>
          <w:sz w:val="28"/>
          <w:szCs w:val="28"/>
        </w:rPr>
        <w:t>余门（截止202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sz w:val="28"/>
          <w:szCs w:val="28"/>
        </w:rPr>
        <w:t>年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</w:rPr>
        <w:t>月），真实再现国外教学实景。学子可按学科进行课程筛选，也可进行高校优选（QS排名前50或前10）、视频等级、课程类型、授课年份等的组合筛选，选课学习尤为便捷。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助力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拔尖创新人才培养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：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拔尖创新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5264785" cy="631190"/>
            <wp:effectExtent l="0" t="0" r="12065" b="16510"/>
            <wp:docPr id="19" name="图片 19" descr="72339244-FCF3-4f6a-A7B3-DF79D173AF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2339244-FCF3-4f6a-A7B3-DF79D173AF3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63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根据国家发展战略，支持基础拔尖人才及“四新”人才培养，提供基于各类人才培养需求的高水平系列课程。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5420" cy="2731135"/>
            <wp:effectExtent l="106045" t="80645" r="114935" b="83820"/>
            <wp:docPr id="20" name="图片 20" descr="9410FD08-6CB7-407b-AA90-20461671E2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410FD08-6CB7-407b-AA90-20461671E2C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311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助力教学科研：AI服务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71135" cy="3203575"/>
            <wp:effectExtent l="106045" t="85725" r="109220" b="101600"/>
            <wp:docPr id="1" name="图片 1" descr="92E9649B-06B3-44ed-AB33-06C3428AD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2E9649B-06B3-44ed-AB33-06C3428AD49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035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AI助教、字幕、摘要功能提升教学互动性，优化学习体验，助力高校实现教育信息化和国际化。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平台登录</w:t>
      </w:r>
    </w:p>
    <w:p>
      <w:pPr>
        <w:spacing w:after="312" w:afterLines="100" w:line="360" w:lineRule="auto"/>
        <w:rPr>
          <w:rFonts w:hint="default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MeTeL支持校内授权IP自动登录，校外个人账号登录，及CARSI登录。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4117975" cy="3142615"/>
            <wp:effectExtent l="74295" t="69215" r="74930" b="83820"/>
            <wp:docPr id="14" name="图片 14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登录"/>
                    <pic:cNvPicPr>
                      <a:picLocks noChangeAspect="1"/>
                    </pic:cNvPicPr>
                  </pic:nvPicPr>
                  <pic:blipFill>
                    <a:blip r:embed="rId19"/>
                    <a:srcRect l="2252" t="3267" r="1890" b="2209"/>
                    <a:stretch>
                      <a:fillRect/>
                    </a:stretch>
                  </pic:blipFill>
                  <pic:spPr>
                    <a:xfrm>
                      <a:off x="0" y="0"/>
                      <a:ext cx="4117975" cy="3142615"/>
                    </a:xfrm>
                    <a:prstGeom prst="rect">
                      <a:avLst/>
                    </a:prstGeom>
                    <a:effectLst>
                      <a:outerShdw blurRad="63500" sx="101000" sy="101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/>
        <w:ind w:left="0" w:firstLine="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Style w:val="5"/>
          <w:rFonts w:hint="eastAsia" w:ascii="宋体" w:hAnsi="宋体" w:eastAsia="宋体" w:cs="宋体"/>
          <w:sz w:val="28"/>
          <w:szCs w:val="28"/>
        </w:rPr>
        <w:t>校内IP登录：</w:t>
      </w:r>
      <w:r>
        <w:rPr>
          <w:rFonts w:hint="eastAsia" w:ascii="宋体" w:hAnsi="宋体" w:eastAsia="宋体" w:cs="宋体"/>
          <w:sz w:val="28"/>
          <w:szCs w:val="28"/>
        </w:rPr>
        <w:t>已授权机构用户，IP自动登录（校内图书馆打开平台网站，显示学校名称，表示自动登录成功）；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Style w:val="5"/>
          <w:rFonts w:hint="eastAsia" w:ascii="宋体" w:hAnsi="宋体" w:eastAsia="宋体" w:cs="宋体"/>
          <w:sz w:val="28"/>
          <w:szCs w:val="28"/>
        </w:rPr>
        <w:t>个人账号登录1：</w:t>
      </w:r>
      <w:r>
        <w:rPr>
          <w:rFonts w:hint="eastAsia" w:ascii="宋体" w:hAnsi="宋体" w:eastAsia="宋体" w:cs="宋体"/>
          <w:sz w:val="28"/>
          <w:szCs w:val="28"/>
        </w:rPr>
        <w:t>机构IP范围内注册的个人用户（点击个人用户登录，注册个人账号，校内/校外均可使用）；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Style w:val="5"/>
          <w:rFonts w:hint="eastAsia" w:ascii="宋体" w:hAnsi="宋体" w:eastAsia="宋体" w:cs="宋体"/>
          <w:sz w:val="28"/>
          <w:szCs w:val="28"/>
        </w:rPr>
        <w:t>个人账号登录2：</w:t>
      </w:r>
      <w:r>
        <w:rPr>
          <w:rFonts w:hint="eastAsia" w:ascii="宋体" w:hAnsi="宋体" w:eastAsia="宋体" w:cs="宋体"/>
          <w:sz w:val="28"/>
          <w:szCs w:val="28"/>
        </w:rPr>
        <w:t>国道数据读者专属VIP账号（校内/校外）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；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Style w:val="5"/>
          <w:rFonts w:hint="eastAsia" w:ascii="宋体" w:hAnsi="宋体" w:eastAsia="宋体" w:cs="宋体"/>
          <w:sz w:val="28"/>
          <w:szCs w:val="28"/>
          <w:lang w:val="en-US" w:eastAsia="zh-CN"/>
        </w:rPr>
        <w:t>CARSI登录：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如果学校已开通CARSI登录，点击CARSI登录图标，进入学校统一身份认证系统登录即可。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MeTeL将为高校师生提供快速、便捷、全面的外文课程资源服务。带您不出国门了解学科前沿动态，尽览世界名校课程！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FhMjY3MDI0N2FlYWY1ZTRiZGI0YTgxN2U0YjQ0MjEifQ=="/>
  </w:docVars>
  <w:rsids>
    <w:rsidRoot w:val="44970035"/>
    <w:rsid w:val="0D314A3B"/>
    <w:rsid w:val="10F437BA"/>
    <w:rsid w:val="12CD08E3"/>
    <w:rsid w:val="18350DB4"/>
    <w:rsid w:val="1EA43E70"/>
    <w:rsid w:val="21647C41"/>
    <w:rsid w:val="290A586F"/>
    <w:rsid w:val="2EE109EA"/>
    <w:rsid w:val="41306ACA"/>
    <w:rsid w:val="44970035"/>
    <w:rsid w:val="4AA30301"/>
    <w:rsid w:val="526817FC"/>
    <w:rsid w:val="559F271E"/>
    <w:rsid w:val="5CD11DC2"/>
    <w:rsid w:val="5DDE2075"/>
    <w:rsid w:val="5E9A7375"/>
    <w:rsid w:val="68AB34F8"/>
    <w:rsid w:val="6B376D7B"/>
    <w:rsid w:val="6B945EE3"/>
    <w:rsid w:val="6C3F552B"/>
    <w:rsid w:val="6D3511B7"/>
    <w:rsid w:val="76585A49"/>
    <w:rsid w:val="7FEA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1195</Words>
  <Characters>1276</Characters>
  <Lines>0</Lines>
  <Paragraphs>0</Paragraphs>
  <TotalTime>35</TotalTime>
  <ScaleCrop>false</ScaleCrop>
  <LinksUpToDate>false</LinksUpToDate>
  <CharactersWithSpaces>1276</CharactersWithSpaces>
  <Application>WPS Office_11.8.2.10972_F1E327BC-269C-435d-A152-05C5408002CA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2023-03-28T06:41:00Z</dcterms:created>
  <dc:creator>Administrator</dc:creator>
  <cp:lastModifiedBy>Administrator</cp:lastModifiedBy>
  <dcterms:modified xsi:type="dcterms:W3CDTF">2024-12-27T06:36:27Z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2052-11.8.2.10972</vt:lpwstr>
  </property>
  <property fmtid="{D5CDD505-2E9C-101B-9397-08002B2CF9AE}" pid="3" name="ICV">
    <vt:lpwstr>110EB8E9B1C34781B870CFFD3F829529</vt:lpwstr>
  </property>
</Properties>
</file>