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tLeast"/>
        <w:ind w:left="420"/>
        <w:jc w:val="center"/>
        <w:rPr>
          <w:rFonts w:ascii="宋体" w:hAnsi="宋体" w:eastAsia="宋体"/>
          <w:b/>
          <w:bCs/>
          <w:sz w:val="28"/>
          <w:szCs w:val="36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28"/>
          <w:szCs w:val="36"/>
        </w:rPr>
        <w:t>21天满腹经纶</w:t>
      </w:r>
    </w:p>
    <w:p>
      <w:pPr>
        <w:spacing w:line="360" w:lineRule="atLeast"/>
        <w:ind w:left="1063" w:hanging="1063" w:hangingChars="504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b/>
          <w:bCs/>
        </w:rPr>
        <w:t>活动背景：</w:t>
      </w:r>
      <w:r>
        <w:rPr>
          <w:rFonts w:hint="eastAsia" w:ascii="宋体" w:hAnsi="宋体" w:eastAsia="宋体"/>
        </w:rPr>
        <w:t>牛顿说过：如果说我比别人看得更远些，那是因为我站在了巨人的肩上。在信息爆炸的数据时代，掌握检索、搜集、整理信息的技能便是快速捕捉有效数据的得力帮手。为</w:t>
      </w:r>
      <w:r>
        <w:rPr>
          <w:rFonts w:hint="eastAsia" w:ascii="宋体" w:hAnsi="宋体" w:eastAsia="宋体"/>
          <w:sz w:val="22"/>
          <w:szCs w:val="28"/>
        </w:rPr>
        <w:t>进一步提高数字资源利用率，增强高校师生使用数字资源的技能，保障教学科研信息需求，维普邀您参与</w:t>
      </w:r>
      <w:r>
        <w:rPr>
          <w:rFonts w:hint="eastAsia" w:ascii="宋体" w:hAnsi="宋体" w:eastAsia="宋体"/>
        </w:rPr>
        <w:t>“21天满腹经纶”活动，在这里你可以学习到如何使用数据库资源、如何快速找到所需文献资料以及如何提升文献检索效率等方法。</w:t>
      </w:r>
    </w:p>
    <w:p>
      <w:pPr>
        <w:spacing w:line="360" w:lineRule="atLeast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活动主题：</w:t>
      </w:r>
      <w:r>
        <w:rPr>
          <w:rFonts w:hint="eastAsia" w:ascii="宋体" w:hAnsi="宋体" w:eastAsia="宋体"/>
        </w:rPr>
        <w:t>统一检索——让你满腹经纶，不再满腹牢骚</w:t>
      </w:r>
    </w:p>
    <w:p>
      <w:pPr>
        <w:spacing w:line="360" w:lineRule="atLeas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</w:rPr>
        <w:t>参与方式：</w:t>
      </w:r>
      <w:r>
        <w:rPr>
          <w:rFonts w:hint="eastAsia" w:ascii="宋体" w:hAnsi="宋体" w:eastAsia="宋体"/>
        </w:rPr>
        <w:t>1、访问网站activities.cqvip.com，选择活动——21天满腹经纶</w:t>
      </w:r>
    </w:p>
    <w:p>
      <w:pPr>
        <w:spacing w:line="360" w:lineRule="auto"/>
        <w:ind w:left="-2" w:leftChars="0" w:firstLine="0" w:firstLine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1、注册方法：校内访问</w:t>
      </w:r>
      <w:r>
        <w:rPr>
          <w:rFonts w:ascii="宋体" w:hAnsi="宋体" w:eastAsia="宋体" w:cs="宋体"/>
          <w:sz w:val="24"/>
          <w:szCs w:val="24"/>
          <w:highlight w:val="yellow"/>
        </w:rPr>
        <w:t>http://k.vipslib.com/</w:t>
      </w:r>
      <w:r>
        <w:rPr>
          <w:rFonts w:hint="eastAsia" w:ascii="宋体" w:hAnsi="宋体" w:eastAsia="宋体" w:cs="宋体"/>
          <w:b w:val="0"/>
          <w:bCs w:val="0"/>
          <w:color w:val="0000FF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在页面右上角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点击“漫游”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按钮，填写个人信息完成注册。（手机号务必填写准确，以便后续获奖通知及领取）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注意：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u w:val="single"/>
          <w:lang w:val="en-US" w:eastAsia="zh-CN"/>
        </w:rPr>
        <w:t>为获取积分，请点击右上角“漫游”按钮，登录个人账号后，您的登录次数、检索次数、下载量、文献传递量等行为才能进行积分。</w:t>
      </w:r>
    </w:p>
    <w:p>
      <w:pPr>
        <w:numPr>
          <w:ilvl w:val="0"/>
          <w:numId w:val="1"/>
        </w:numPr>
        <w:spacing w:line="360" w:lineRule="auto"/>
        <w:ind w:left="0" w:leftChars="0" w:hanging="4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登录方法：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" w:leftChars="0" w:firstLine="420" w:firstLineChars="200"/>
        <w:jc w:val="left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途径一：直接访问经纶数据库</w:t>
      </w:r>
      <w:r>
        <w:rPr>
          <w:rFonts w:ascii="宋体" w:hAnsi="宋体" w:eastAsia="宋体" w:cs="宋体"/>
          <w:sz w:val="24"/>
          <w:szCs w:val="24"/>
          <w:highlight w:val="yellow"/>
        </w:rPr>
        <w:t>http://k.vipslib.com/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。校内可直接登录，校外需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选择“个人漫游账号”，用已注册的手机号登录。</w:t>
      </w:r>
    </w:p>
    <w:p>
      <w:pPr>
        <w:spacing w:line="360" w:lineRule="atLeast"/>
        <w:rPr>
          <w:rFonts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3</w:t>
      </w:r>
      <w:r>
        <w:rPr>
          <w:rFonts w:hint="eastAsia" w:ascii="宋体" w:hAnsi="宋体" w:eastAsia="宋体"/>
        </w:rPr>
        <w:t>、活动采取积分制：通过对每个用户的登录次数、检索次数、下载量、文献传递量等行为进行积分，最终根据积分排名进行评奖。</w:t>
      </w:r>
    </w:p>
    <w:p>
      <w:pPr>
        <w:spacing w:line="360" w:lineRule="atLeast"/>
        <w:rPr>
          <w:rFonts w:ascii="宋体" w:hAnsi="宋体" w:eastAsia="宋体"/>
          <w:color w:val="FF0000"/>
        </w:rPr>
      </w:pPr>
      <w:r>
        <w:rPr>
          <w:rFonts w:hint="eastAsia" w:ascii="宋体" w:hAnsi="宋体" w:eastAsia="宋体"/>
          <w:color w:val="FF0000"/>
          <w:lang w:val="en-US" w:eastAsia="zh-CN"/>
        </w:rPr>
        <w:t>4</w:t>
      </w:r>
      <w:r>
        <w:rPr>
          <w:rFonts w:hint="eastAsia" w:ascii="宋体" w:hAnsi="宋体" w:eastAsia="宋体"/>
          <w:color w:val="FF0000"/>
        </w:rPr>
        <w:t>、活动排名分两个赛区，即</w:t>
      </w:r>
      <w:r>
        <w:rPr>
          <w:rFonts w:hint="eastAsia" w:ascii="宋体" w:hAnsi="宋体" w:eastAsia="宋体"/>
          <w:color w:val="FF0000"/>
          <w:lang w:val="en-US" w:eastAsia="zh-CN"/>
        </w:rPr>
        <w:t>安徽财经大学</w:t>
      </w:r>
      <w:r>
        <w:rPr>
          <w:rFonts w:hint="eastAsia" w:ascii="宋体" w:hAnsi="宋体" w:eastAsia="宋体"/>
          <w:color w:val="FF0000"/>
        </w:rPr>
        <w:t>参赛者在全国赛区排名和在</w:t>
      </w:r>
      <w:r>
        <w:rPr>
          <w:rFonts w:hint="eastAsia" w:ascii="宋体" w:hAnsi="宋体" w:eastAsia="宋体"/>
          <w:color w:val="FF0000"/>
          <w:lang w:val="en-US" w:eastAsia="zh-CN"/>
        </w:rPr>
        <w:t>安徽财经大学学院</w:t>
      </w:r>
      <w:r>
        <w:rPr>
          <w:rFonts w:hint="eastAsia" w:ascii="宋体" w:hAnsi="宋体" w:eastAsia="宋体"/>
          <w:color w:val="FF0000"/>
        </w:rPr>
        <w:t>赛区排名。</w:t>
      </w:r>
    </w:p>
    <w:p>
      <w:pPr>
        <w:spacing w:line="360" w:lineRule="atLeast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活动时间：</w:t>
      </w:r>
      <w:r>
        <w:rPr>
          <w:rFonts w:hint="eastAsia" w:ascii="宋体" w:hAnsi="宋体" w:eastAsia="宋体"/>
        </w:rPr>
        <w:t>2022年4月11日——2022年5月1日（共21天）</w:t>
      </w:r>
    </w:p>
    <w:p>
      <w:pPr>
        <w:spacing w:line="360" w:lineRule="atLeast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揭奖时间：</w:t>
      </w:r>
      <w:r>
        <w:rPr>
          <w:rFonts w:hint="eastAsia" w:ascii="宋体" w:hAnsi="宋体" w:eastAsia="宋体"/>
        </w:rPr>
        <w:t>2022年5月10日</w:t>
      </w:r>
    </w:p>
    <w:p>
      <w:pPr>
        <w:tabs>
          <w:tab w:val="left" w:pos="312"/>
        </w:tabs>
        <w:spacing w:line="360" w:lineRule="atLeast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全国赛区排名奖品设置：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1"/>
        <w:gridCol w:w="2550"/>
        <w:gridCol w:w="3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1" w:type="dxa"/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</w:rPr>
              <w:t>奖项名称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</w:rPr>
              <w:t>奖项人数（名）</w:t>
            </w:r>
          </w:p>
        </w:tc>
        <w:tc>
          <w:tcPr>
            <w:tcW w:w="3491" w:type="dxa"/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</w:rPr>
              <w:t>奖项内容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1" w:type="dxa"/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</w:rPr>
              <w:t>一等奖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</w:rPr>
              <w:t>1</w:t>
            </w:r>
          </w:p>
        </w:tc>
        <w:tc>
          <w:tcPr>
            <w:tcW w:w="3491" w:type="dxa"/>
          </w:tcPr>
          <w:p>
            <w:pPr>
              <w:spacing w:line="360" w:lineRule="atLeast"/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</w:rPr>
              <w:t>airpods第二代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1" w:type="dxa"/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</w:rPr>
              <w:t>二等奖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</w:rPr>
              <w:t>10</w:t>
            </w:r>
          </w:p>
        </w:tc>
        <w:tc>
          <w:tcPr>
            <w:tcW w:w="3491" w:type="dxa"/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</w:rPr>
              <w:t>kindle青春版8GB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1" w:type="dxa"/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</w:rPr>
              <w:t>三等奖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</w:rPr>
              <w:t>30</w:t>
            </w:r>
          </w:p>
        </w:tc>
        <w:tc>
          <w:tcPr>
            <w:tcW w:w="3491" w:type="dxa"/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</w:rPr>
              <w:t>米家台灯Lite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1" w:type="dxa"/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</w:rPr>
              <w:t>优秀奖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</w:rPr>
              <w:t>250</w:t>
            </w:r>
          </w:p>
        </w:tc>
        <w:tc>
          <w:tcPr>
            <w:tcW w:w="3491" w:type="dxa"/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</w:rPr>
              <w:t>lock＆lock水杯</w:t>
            </w:r>
          </w:p>
        </w:tc>
      </w:tr>
    </w:tbl>
    <w:p>
      <w:pPr>
        <w:tabs>
          <w:tab w:val="left" w:pos="312"/>
        </w:tabs>
        <w:spacing w:line="360" w:lineRule="atLeast"/>
        <w:rPr>
          <w:rFonts w:ascii="宋体" w:hAnsi="宋体" w:eastAsia="宋体" w:cs="宋体"/>
          <w:sz w:val="24"/>
          <w:szCs w:val="24"/>
          <w:highlight w:val="yellow"/>
        </w:rPr>
      </w:pPr>
      <w:r>
        <w:rPr>
          <w:rFonts w:hint="eastAsia" w:ascii="宋体" w:hAnsi="宋体" w:eastAsia="宋体"/>
          <w:b/>
          <w:bCs/>
          <w:lang w:val="en-US" w:eastAsia="zh-CN"/>
        </w:rPr>
        <w:t>安徽财经大学</w:t>
      </w:r>
      <w:r>
        <w:rPr>
          <w:rFonts w:hint="eastAsia" w:ascii="宋体" w:hAnsi="宋体" w:eastAsia="宋体"/>
          <w:b/>
          <w:bCs/>
        </w:rPr>
        <w:t>赛区排名奖品设置：</w:t>
      </w:r>
      <w:r>
        <w:rPr>
          <w:rFonts w:ascii="宋体" w:hAnsi="宋体" w:eastAsia="宋体" w:cs="宋体"/>
          <w:sz w:val="24"/>
          <w:szCs w:val="24"/>
          <w:highlight w:val="yellow"/>
        </w:rPr>
        <w:br w:type="textWrapping"/>
      </w:r>
      <w:r>
        <w:rPr>
          <w:rFonts w:ascii="宋体" w:hAnsi="宋体" w:eastAsia="宋体" w:cs="宋体"/>
          <w:sz w:val="24"/>
          <w:szCs w:val="24"/>
          <w:highlight w:val="yellow"/>
        </w:rPr>
        <w:t>线下实战：</w:t>
      </w: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1、</w:t>
      </w:r>
      <w:r>
        <w:rPr>
          <w:rFonts w:ascii="宋体" w:hAnsi="宋体" w:eastAsia="宋体" w:cs="宋体"/>
          <w:sz w:val="24"/>
          <w:szCs w:val="24"/>
          <w:highlight w:val="yellow"/>
        </w:rPr>
        <w:t>可参与维普读书月活动，结合自身所学，夺取大奖</w:t>
      </w:r>
      <w:r>
        <w:rPr>
          <w:rFonts w:ascii="宋体" w:hAnsi="宋体" w:eastAsia="宋体" w:cs="宋体"/>
          <w:sz w:val="24"/>
          <w:szCs w:val="24"/>
          <w:highlight w:val="yellow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2、</w:t>
      </w:r>
      <w:r>
        <w:rPr>
          <w:rFonts w:ascii="宋体" w:hAnsi="宋体" w:eastAsia="宋体" w:cs="宋体"/>
          <w:sz w:val="24"/>
          <w:szCs w:val="24"/>
          <w:highlight w:val="yellow"/>
        </w:rPr>
        <w:t>注册礼包：在维普经纶知识资源服务平台（http://k.vipslib.com/）注册前100名(学校排名)，可送价值200元的维普论文查重1次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3、最后会公布本校学生积分，积分排名前100，可在赠送一次查重</w:t>
      </w:r>
      <w:r>
        <w:rPr>
          <w:rFonts w:ascii="宋体" w:hAnsi="宋体" w:eastAsia="宋体" w:cs="宋体"/>
          <w:sz w:val="24"/>
          <w:szCs w:val="24"/>
          <w:highlight w:val="yellow"/>
        </w:rPr>
        <w:br w:type="textWrapping"/>
      </w:r>
      <w:r>
        <w:rPr>
          <w:rFonts w:ascii="宋体" w:hAnsi="宋体" w:eastAsia="宋体" w:cs="宋体"/>
          <w:sz w:val="24"/>
          <w:szCs w:val="24"/>
          <w:highlight w:val="yellow"/>
        </w:rPr>
        <w:t>如有任何问题可进</w:t>
      </w: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QQ</w:t>
      </w:r>
      <w:r>
        <w:rPr>
          <w:rFonts w:ascii="宋体" w:hAnsi="宋体" w:eastAsia="宋体" w:cs="宋体"/>
          <w:sz w:val="24"/>
          <w:szCs w:val="24"/>
          <w:highlight w:val="yellow"/>
        </w:rPr>
        <w:t>群咨询（902216820）</w:t>
      </w:r>
    </w:p>
    <w:p>
      <w:pPr>
        <w:tabs>
          <w:tab w:val="left" w:pos="312"/>
        </w:tabs>
        <w:spacing w:line="360" w:lineRule="atLeast"/>
        <w:rPr>
          <w:rFonts w:hint="eastAsia" w:ascii="宋体" w:hAnsi="宋体" w:eastAsia="宋体"/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B45A38"/>
    <w:multiLevelType w:val="singleLevel"/>
    <w:tmpl w:val="8FB45A3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BE"/>
    <w:rsid w:val="000054E5"/>
    <w:rsid w:val="0004763F"/>
    <w:rsid w:val="00055434"/>
    <w:rsid w:val="00102212"/>
    <w:rsid w:val="001219F6"/>
    <w:rsid w:val="001B070E"/>
    <w:rsid w:val="00544CEF"/>
    <w:rsid w:val="007078A2"/>
    <w:rsid w:val="00714C31"/>
    <w:rsid w:val="0098455E"/>
    <w:rsid w:val="00AB44BE"/>
    <w:rsid w:val="00B840CB"/>
    <w:rsid w:val="00C66B0E"/>
    <w:rsid w:val="00D560EE"/>
    <w:rsid w:val="00D97E33"/>
    <w:rsid w:val="00F9481F"/>
    <w:rsid w:val="34651005"/>
    <w:rsid w:val="387A3FAF"/>
    <w:rsid w:val="4BEB1F0D"/>
    <w:rsid w:val="527A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519</Characters>
  <Lines>4</Lines>
  <Paragraphs>1</Paragraphs>
  <TotalTime>1</TotalTime>
  <ScaleCrop>false</ScaleCrop>
  <LinksUpToDate>false</LinksUpToDate>
  <CharactersWithSpaces>609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2022-03-31T04:00:00Z</dcterms:created>
  <dc:creator>李 万江</dc:creator>
  <cp:lastModifiedBy>A  米范</cp:lastModifiedBy>
  <dcterms:modified xsi:type="dcterms:W3CDTF">2022-04-08T02:49:20Z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73EBD9C67F73472B89D85D9A740FFBAC</vt:lpwstr>
  </property>
</Properties>
</file>